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>中考（7年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>级-9年级）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15个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  <w:t>文言文虚词 高频考点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(于、乃、以、其、而、为、何、则、之、虽、与、且、焉、所、者)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6"/>
        <w:gridCol w:w="3652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6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虚词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词性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用法意义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于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介词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表示比较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比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皆以美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徐公(《邹忌讽齐王纳谏》)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所恶有甚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死者(《鱼我所欲也》)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到达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皆朝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齐(《邹忌讽齐王纳谏》)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太守与客来饮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此(《醉翁亭记》)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引出对象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给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故天将降大任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是人也(《生于忧患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欲报之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陛下也(《出师表》)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对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对于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我如浮云(《〈论语〉十二章》)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未尝不叹息痛恨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桓、灵也(《出师表》)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在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战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长勺(《曹刿论战》)</w:t>
            </w:r>
          </w:p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骈死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槽枥之间(《马说》)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然后知生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忧患而死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安乐也(《生于忧患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自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渐闻</w:t>
            </w:r>
            <w:r>
              <w:rPr>
                <w:rFonts w:hint="eastAsia" w:ascii="Times New Roman" w:hAnsi="Times New Roman" w:eastAsia="楷体_GB2312" w:cs="Times New Roman"/>
              </w:rPr>
              <w:t>水声潺潺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楷体_GB2312" w:hAnsi="楷体_GB2312" w:eastAsia="楷体_GB2312" w:cs="楷体_GB2312"/>
              </w:rPr>
              <w:t>而泻出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两峰之间者(《醉翁亭记》)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舜发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畎亩之中(《生于忧患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引出被动行为的施事者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被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闻之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宋君(《穿井得一人》)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至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至于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表示提起相关的另一件事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至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斟酌损益(《出师表》)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至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夏水襄陵(《三峡》)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表示承接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于</w:t>
            </w:r>
            <w:r>
              <w:rPr>
                <w:rFonts w:ascii="Times New Roman" w:hAnsi="Times New Roman" w:eastAsia="楷体_GB2312" w:cs="Times New Roman"/>
              </w:rPr>
              <w:t>是入朝见威王(《邹忌讽齐王纳谏》)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乃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人称代词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你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你们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家祭无忘告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乃</w:t>
            </w:r>
            <w:r>
              <w:rPr>
                <w:rFonts w:ascii="Times New Roman" w:hAnsi="Times New Roman" w:eastAsia="楷体_GB2312" w:cs="Times New Roman"/>
              </w:rPr>
              <w:t>翁(《示儿》)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副词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表肯定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是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就是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原来是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乃石性坚重(《河中石兽》)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强调两事情理相悖或事出意外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却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竟然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居然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等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乃</w:t>
            </w:r>
            <w:r>
              <w:rPr>
                <w:rFonts w:ascii="Times New Roman" w:hAnsi="Times New Roman" w:eastAsia="楷体_GB2312" w:cs="Times New Roman"/>
              </w:rPr>
              <w:t>不知有汉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无论魏晋(《桃花源记》)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表示前后两事在情理上的顺承或时间上的紧接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于是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就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便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等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乃重修岳阳楼(《岳阳楼记》)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乃</w:t>
            </w:r>
            <w:r>
              <w:rPr>
                <w:rFonts w:ascii="Times New Roman" w:hAnsi="Times New Roman" w:eastAsia="楷体_GB2312" w:cs="Times New Roman"/>
              </w:rPr>
              <w:t>入见(《曹刿论</w:t>
            </w:r>
            <w:r>
              <w:rPr>
                <w:rFonts w:hint="eastAsia" w:ascii="Times New Roman" w:hAnsi="Times New Roman" w:eastAsia="楷体_GB2312" w:cs="Times New Roman"/>
              </w:rPr>
              <w:t>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表示前后两事在情理上的顺承或时间上的紧接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才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这才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等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久而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乃</w:t>
            </w:r>
            <w:r>
              <w:rPr>
                <w:rFonts w:ascii="Times New Roman" w:hAnsi="Times New Roman" w:eastAsia="楷体_GB2312" w:cs="Times New Roman"/>
              </w:rPr>
              <w:t>和(《送东阳马生序》)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太丘舍去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去后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乃</w:t>
            </w:r>
            <w:r>
              <w:rPr>
                <w:rFonts w:ascii="Times New Roman" w:hAnsi="Times New Roman" w:eastAsia="楷体_GB2312" w:cs="Times New Roman"/>
              </w:rPr>
              <w:t>至(《陈太丘与友期行》)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以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介词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凭借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依靠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可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为师矣(《〈论语〉十二章》)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去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六月息者也(《北冥有鱼</w:t>
            </w:r>
            <w:r>
              <w:rPr>
                <w:rFonts w:hint="eastAsia" w:ascii="Times New Roman" w:hAnsi="Times New Roman" w:eastAsia="楷体_GB2312" w:cs="Times New Roman"/>
              </w:rPr>
              <w:t>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把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醒能述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文者(《醉翁亭记》)</w:t>
            </w:r>
          </w:p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咨臣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当世之事(《出师表》)</w:t>
            </w:r>
          </w:p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必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分人(《曹刿论战》)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以是人多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书假余(《送东阳马生序》)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以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介词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依照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按照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策之不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其道(《马说》)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必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情(《曹刿论战》)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表示因果关系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因为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其境过清(《小石潭记》)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物喜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己悲(《岳阳楼记》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动词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认为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有时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以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为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以为顺流下矣(《河中石兽》)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皆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美于徐公(《邹忌讽齐王纳谏》)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表目的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来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用来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属予作文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记之(《岳阳楼记》)</w:t>
            </w:r>
          </w:p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光先帝遗德(《出师表》)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计日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还(《送东阳马生序》)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表结果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以致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有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因而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的意思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塞忠谏之路也/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以</w:t>
            </w:r>
            <w:r>
              <w:rPr>
                <w:rFonts w:ascii="Times New Roman" w:hAnsi="Times New Roman" w:eastAsia="楷体_GB2312" w:cs="Times New Roman"/>
              </w:rPr>
              <w:t>伤先帝之明(《出师表》)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其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副词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表示加强诘问的语气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难道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岂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真无马邪(《马说》)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第三人称代词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他(她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它)的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他(她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它)们的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不善者而改之(《〈论语〉十二章》)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飞漱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间(《三峡》)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指示代词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表远指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那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那些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那个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喜洋洋者矣(《岳阳楼记》)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指示代词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表近指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这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这个</w:t>
            </w:r>
            <w:r>
              <w:rPr>
                <w:rFonts w:hAnsi="宋体" w:cs="Times New Roman"/>
              </w:rPr>
              <w:t>”“</w:t>
            </w:r>
            <w:r>
              <w:rPr>
                <w:rFonts w:hint="eastAsia" w:ascii="Times New Roman" w:hAnsi="Times New Roman" w:eastAsia="楷体_GB2312" w:cs="Times New Roman"/>
              </w:rPr>
              <w:t>这些</w:t>
            </w:r>
            <w:r>
              <w:rPr>
                <w:rFonts w:hint="eastAsia"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间千二百里(《三峡》)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表选择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还是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其正色邪？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远而无所至极邪(《北冥有鱼》)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真不知马也(《马说》)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助词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如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何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前面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加强反问语气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其</w:t>
            </w:r>
            <w:r>
              <w:rPr>
                <w:rFonts w:ascii="Times New Roman" w:hAnsi="Times New Roman" w:eastAsia="楷体_GB2312" w:cs="Times New Roman"/>
              </w:rPr>
              <w:t>如土石何(《愚公移山》)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而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表顺承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就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才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然后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学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时习之(《〈论语〉十二章》)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乃记之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去(《小石潭记》)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表修饰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不译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潭西南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望</w:t>
            </w:r>
            <w:r>
              <w:rPr>
                <w:rFonts w:hint="eastAsia" w:ascii="Times New Roman" w:hAnsi="Times New Roman" w:eastAsia="楷体_GB2312" w:cs="Times New Roman"/>
              </w:rPr>
              <w:t>(《小石潭记》)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杂然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前陈者(《醉翁亭记》)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表递进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而且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并且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而年又最高(《醉翁亭记》)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形貌</w:t>
            </w:r>
            <w:r>
              <w:rPr>
                <w:rFonts w:hint="eastAsia" w:hAnsi="宋体" w:cs="宋体"/>
              </w:rPr>
              <w:t>昳</w:t>
            </w:r>
            <w:r>
              <w:rPr>
                <w:rFonts w:hint="eastAsia" w:ascii="楷体_GB2312" w:hAnsi="楷体_GB2312" w:eastAsia="楷体_GB2312" w:cs="楷体_GB2312"/>
              </w:rPr>
              <w:t>丽(《邹忌讽齐王纳谏》)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表并列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和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可不译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溪深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鱼肥(《醉翁亭记》)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博学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笃志(《〈论语〉十二章》)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表转折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但是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却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予独爱莲之出淤泥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不染(《爱莲说》)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鸣之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不能通其意(《</w:t>
            </w:r>
            <w:r>
              <w:rPr>
                <w:rFonts w:hint="eastAsia" w:ascii="Times New Roman" w:hAnsi="Times New Roman" w:eastAsia="楷体_GB2312" w:cs="Times New Roman"/>
              </w:rPr>
              <w:t>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已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hAnsi="宋体" w:cs="楷体_GB2312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已而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不久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已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夕阳在山(《醉翁亭记》)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或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有时候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而</w:t>
            </w:r>
            <w:r>
              <w:rPr>
                <w:rFonts w:ascii="Times New Roman" w:hAnsi="Times New Roman" w:eastAsia="楷体_GB2312" w:cs="Times New Roman"/>
              </w:rPr>
              <w:t>或长烟一空(《岳阳楼记》)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为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介词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同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不足</w:t>
            </w:r>
            <w:r>
              <w:rPr>
                <w:rFonts w:hint="eastAsia"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hint="eastAsia" w:ascii="Times New Roman" w:hAnsi="Times New Roman" w:eastAsia="楷体_GB2312" w:cs="Times New Roman"/>
              </w:rPr>
              <w:t>外人道也</w:t>
            </w:r>
            <w:r>
              <w:rPr>
                <w:rFonts w:ascii="Times New Roman" w:hAnsi="Times New Roman" w:eastAsia="楷体_GB2312" w:cs="Times New Roman"/>
              </w:rPr>
              <w:t xml:space="preserve"> /此人一一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具言所闻(《桃花源记》)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给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替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人谋而不忠乎(《〈论语〉十二章》)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被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岂能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暴涨携之去(《河中石兽》)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天子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动(《周亚夫军细柳》)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动词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认为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以为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自以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不如(《邹忌讽齐王纳谏》)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众服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hint="eastAsia" w:ascii="Times New Roman" w:hAnsi="Times New Roman" w:eastAsia="楷体_GB2312" w:cs="Times New Roman"/>
              </w:rPr>
              <w:t>确论(《河中</w:t>
            </w:r>
            <w:r>
              <w:rPr>
                <w:rFonts w:hint="eastAsia" w:ascii="楷体_GB2312" w:hAnsi="楷体_GB2312" w:eastAsia="楷体_GB2312" w:cs="楷体_GB2312"/>
              </w:rPr>
              <w:t>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为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动词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充当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担任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可以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师矣(《〈论语〉十二章》)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以河内守亚夫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将军(《周亚夫军细柳》)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成为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变为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作为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必于石下迎水处啮沙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坎穴(《河中石兽》)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酿泉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酒(《醉翁亭记》)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表判断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相当于现代汉语的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是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俱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一体(《出师表》)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中峨冠而多髯者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东坡(《核舟记》)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何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表疑问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什么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陋之有(《陋室铭》)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以战(《曹刿论战》)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表疑问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谁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哪一个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哪里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夜无月？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处无竹柏(《记承天寺夜游》)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此乐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及(《岳阳楼记》)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表疑问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怎么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怎么样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徐公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能及君也(《邹忌讽齐王纳谏》)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大兄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见事之晚乎(《孙权劝学》)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表疑问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为什么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何故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或异二者之为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哉(《岳阳楼记》)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安陵君不听寡人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也(《唐雎不辱使命》)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副词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表示程度深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怎么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多么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水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澹澹(《观沧海》)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吏呼一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怒！妇啼一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苦(《石壕吏》)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则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副词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用于加强判断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乃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即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此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岳阳楼之大观也(《岳阳楼记》)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表示承接关系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就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便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那么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有去国怀乡/居庙堂之高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忧其民(《岳阳楼记》)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素湍绿潭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回</w:t>
            </w:r>
            <w:r>
              <w:rPr>
                <w:rFonts w:hint="eastAsia" w:ascii="Times New Roman" w:hAnsi="Times New Roman" w:eastAsia="楷体_GB2312" w:cs="Times New Roman"/>
              </w:rPr>
              <w:t>清倒影(《三峡》)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表示转折关系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然而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反倒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余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hint="eastAsia" w:hAnsi="宋体" w:cs="宋体"/>
              </w:rPr>
              <w:t>缊</w:t>
            </w:r>
            <w:r>
              <w:rPr>
                <w:rFonts w:hint="eastAsia" w:ascii="楷体_GB2312" w:hAnsi="楷体_GB2312" w:eastAsia="楷体_GB2312" w:cs="楷体_GB2312"/>
              </w:rPr>
              <w:t>袍敝衣处其间(《送东阳马生序》)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表示假设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假如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入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无法家拂士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出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无敌国外患者(《生于忧患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万钟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不辩礼义而受之(《鱼我所欲也》)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然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组成固定结构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表示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既然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那么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然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何时而乐耶(《岳阳楼记》)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然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天下之事(《河中石兽》)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常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则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则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并用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有加强对比的作用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蝉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千转不穷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猿</w:t>
            </w:r>
            <w:r>
              <w:rPr>
                <w:rFonts w:ascii="Times New Roman" w:hAnsi="Times New Roman" w:eastAsia="楷体_GB2312" w:cs="Times New Roman"/>
                <w:em w:val="underDot"/>
              </w:rPr>
              <w:t>则</w:t>
            </w:r>
            <w:r>
              <w:rPr>
                <w:rFonts w:ascii="Times New Roman" w:hAnsi="Times New Roman" w:eastAsia="楷体_GB2312" w:cs="Times New Roman"/>
              </w:rPr>
              <w:t>百叫无绝(《与朱元思书》)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之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第三人称代词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他(们)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她(们)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它(们)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沿河求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公与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乘(《曹刿论战》)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指示代词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这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这样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那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那样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这件事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等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闻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欣然规往(《桃花源记》)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肉食者谋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动词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到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去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往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女家(《富贵不能淫》)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已而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细柳军(《周亚夫军细柳》)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助</w:t>
            </w:r>
            <w:r>
              <w:rPr>
                <w:rFonts w:hint="eastAsia" w:ascii="Times New Roman" w:hAnsi="Times New Roman" w:eastAsia="楷体_GB2312" w:cs="Times New Roman"/>
              </w:rPr>
              <w:t>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结构助词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用在定语和中心语(名词)之间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的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水陆草木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花(《爱莲说》)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不闻天子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诏(《周亚夫军细柳》)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用在主谓之间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取消句子的独立性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无丝竹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乱耳(《陋室铭》)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鹏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徙于南冥者(《北冥有鱼》)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之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助</w:t>
            </w:r>
            <w:r>
              <w:rPr>
                <w:rFonts w:hint="eastAsia" w:ascii="Times New Roman" w:hAnsi="Times New Roman" w:eastAsia="楷体_GB2312" w:cs="Times New Roman"/>
              </w:rPr>
              <w:t>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宾语前置的标志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不译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何陋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有(《陋室铭》)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牡丹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爱(《爱莲说》)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音节助词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起调节音节的作用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无实义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不译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鸣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而不能通其意(《马说》)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久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目似瞑(《狼》)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定语后置的标志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不译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马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千里者(《马说》)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处江湖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之</w:t>
            </w:r>
            <w:r>
              <w:rPr>
                <w:rFonts w:ascii="Times New Roman" w:hAnsi="Times New Roman" w:eastAsia="楷体_GB2312" w:cs="Times New Roman"/>
              </w:rPr>
              <w:t>远则忧其君(《岳阳楼记》)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虽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表示让步(转折)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虽然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故余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虽</w:t>
            </w:r>
            <w:r>
              <w:rPr>
                <w:rFonts w:ascii="Times New Roman" w:hAnsi="Times New Roman" w:eastAsia="楷体_GB2312" w:cs="Times New Roman"/>
              </w:rPr>
              <w:t>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卒获有所闻(《送东阳马生序》)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表示假设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即使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虽</w:t>
            </w:r>
            <w:r>
              <w:rPr>
                <w:rFonts w:ascii="Times New Roman" w:hAnsi="Times New Roman" w:eastAsia="楷体_GB2312" w:cs="Times New Roman"/>
              </w:rPr>
              <w:t>乘奔御风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不以疾也(《三峡》)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虽</w:t>
            </w:r>
            <w:r>
              <w:rPr>
                <w:rFonts w:ascii="Times New Roman" w:hAnsi="Times New Roman" w:eastAsia="楷体_GB2312" w:cs="Times New Roman"/>
              </w:rPr>
              <w:t>有嘉肴(《虽有嘉肴》)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与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介词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相比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吾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徐公孰美/吾孰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徐公美(《邹忌讽齐王纳谏》)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动词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给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给予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蹴尔而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之/呼尔而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之(《鱼我所欲也》)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同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遂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外人间隔(《桃花源记》)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天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云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山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水(《湖心亭看雪》)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</w:rPr>
              <w:t>与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eastAsia="楷体_GB2312" w:cs="Times New Roman"/>
              </w:rPr>
              <w:t>相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楷体_GB2312" w:hAnsi="楷体_GB2312" w:eastAsia="楷体_GB2312" w:cs="楷体_GB2312"/>
              </w:rPr>
              <w:t>意思是</w:t>
            </w:r>
            <w:r>
              <w:rPr>
                <w:rFonts w:hint="eastAsia" w:hAnsi="宋体" w:cs="楷体_GB2312"/>
              </w:rPr>
              <w:t>“</w:t>
            </w:r>
            <w:r>
              <w:rPr>
                <w:rFonts w:hint="eastAsia" w:ascii="楷体_GB2312" w:hAnsi="楷体_GB2312" w:eastAsia="楷体_GB2312" w:cs="楷体_GB2312"/>
              </w:rPr>
              <w:t>一起</w:t>
            </w:r>
            <w:r>
              <w:rPr>
                <w:rFonts w:hint="eastAsia" w:hAnsi="宋体" w:cs="楷体_GB2312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相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步于中庭(《记承天寺夜游》)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山气日夕佳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飞鸟相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还[《饮酒》(其五)]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且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连词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表示并列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又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不义而富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且</w:t>
            </w:r>
            <w:r>
              <w:rPr>
                <w:rFonts w:ascii="Times New Roman" w:hAnsi="Times New Roman" w:eastAsia="楷体_GB2312" w:cs="Times New Roman"/>
              </w:rPr>
              <w:t>贵(《〈论语〉十二章》)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盖余之勤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且</w:t>
            </w:r>
            <w:r>
              <w:rPr>
                <w:rFonts w:ascii="Times New Roman" w:hAnsi="Times New Roman" w:eastAsia="楷体_GB2312" w:cs="Times New Roman"/>
              </w:rPr>
              <w:t>艰若此(《送东阳马生序》)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表示递进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而且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hAnsi="宋体" w:cs="楷体_GB2312"/>
              </w:rPr>
              <w:t>“</w:t>
            </w:r>
            <w:r>
              <w:rPr>
                <w:rFonts w:hint="eastAsia" w:ascii="楷体_GB2312" w:hAnsi="楷体_GB2312" w:eastAsia="楷体_GB2312" w:cs="楷体_GB2312"/>
              </w:rPr>
              <w:t>况且</w:t>
            </w:r>
            <w:r>
              <w:rPr>
                <w:rFonts w:hint="eastAsia" w:hAnsi="宋体" w:cs="楷体_GB2312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且</w:t>
            </w:r>
            <w:r>
              <w:rPr>
                <w:rFonts w:ascii="Times New Roman" w:hAnsi="Times New Roman" w:eastAsia="楷体_GB2312" w:cs="Times New Roman"/>
              </w:rPr>
              <w:t>焉置土石(《愚公移山》)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表示让步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尚且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且</w:t>
            </w:r>
            <w:r>
              <w:rPr>
                <w:rFonts w:ascii="Times New Roman" w:hAnsi="Times New Roman" w:eastAsia="楷体_GB2312" w:cs="Times New Roman"/>
              </w:rPr>
              <w:t>欲与常马等不可得(《马说》)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副词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将近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年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且</w:t>
            </w:r>
            <w:r>
              <w:rPr>
                <w:rFonts w:ascii="Times New Roman" w:hAnsi="Times New Roman" w:eastAsia="楷体_GB2312" w:cs="Times New Roman"/>
              </w:rPr>
              <w:t>九十(《愚公移山》)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将要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天子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且</w:t>
            </w:r>
            <w:r>
              <w:rPr>
                <w:rFonts w:ascii="Times New Roman" w:hAnsi="Times New Roman" w:eastAsia="楷体_GB2312" w:cs="Times New Roman"/>
              </w:rPr>
              <w:t>至(《周亚夫军细柳》)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焉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表疑问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哪里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怎么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且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焉</w:t>
            </w:r>
            <w:r>
              <w:rPr>
                <w:rFonts w:ascii="Times New Roman" w:hAnsi="Times New Roman" w:eastAsia="楷体_GB2312" w:cs="Times New Roman"/>
              </w:rPr>
              <w:t>置土石(《愚公移山》)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湖中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焉</w:t>
            </w:r>
            <w:r>
              <w:rPr>
                <w:rFonts w:ascii="Times New Roman" w:hAnsi="Times New Roman" w:eastAsia="楷体_GB2312" w:cs="Times New Roman"/>
              </w:rPr>
              <w:t>得更有此人(《湖心亭看雪》)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宋体" w:cs="MingLiU_HKSCS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lang w:eastAsia="zh-CN"/>
              </w:rPr>
              <w:t>语气词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不译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或译为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呢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可远观而不可亵玩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焉</w:t>
            </w:r>
            <w:r>
              <w:rPr>
                <w:rFonts w:ascii="Times New Roman" w:hAnsi="Times New Roman" w:eastAsia="楷体_GB2312" w:cs="Times New Roman"/>
              </w:rPr>
              <w:t>(《爱莲说》)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又何间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焉</w:t>
            </w:r>
            <w:r>
              <w:rPr>
                <w:rFonts w:ascii="Times New Roman" w:hAnsi="Times New Roman" w:eastAsia="楷体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兼词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用于动词、形容词后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即兼有介词和代词的</w:t>
            </w:r>
            <w:r>
              <w:rPr>
                <w:rFonts w:hint="eastAsia" w:ascii="Times New Roman" w:hAnsi="Times New Roman" w:eastAsia="楷体_GB2312" w:cs="Times New Roman"/>
              </w:rPr>
              <w:t>作用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楷体_GB2312" w:hAnsi="楷体_GB2312" w:eastAsia="楷体_GB2312" w:cs="楷体_GB2312"/>
              </w:rPr>
              <w:t>相当于</w:t>
            </w:r>
            <w:r>
              <w:rPr>
                <w:rFonts w:hint="eastAsia" w:hAnsi="宋体" w:cs="楷体_GB2312"/>
              </w:rPr>
              <w:t>“</w:t>
            </w:r>
            <w:r>
              <w:rPr>
                <w:rFonts w:hint="eastAsia" w:ascii="楷体_GB2312" w:hAnsi="楷体_GB2312" w:eastAsia="楷体_GB2312" w:cs="楷体_GB2312"/>
              </w:rPr>
              <w:t>从</w:t>
            </w:r>
            <w:r>
              <w:rPr>
                <w:rFonts w:hint="eastAsia" w:ascii="Times New Roman" w:hAnsi="Times New Roman" w:eastAsia="楷体_GB2312" w:cs="Times New Roman"/>
              </w:rPr>
              <w:t>这里</w:t>
            </w:r>
            <w:r>
              <w:rPr>
                <w:rFonts w:hint="eastAsia" w:hAnsi="宋体" w:cs="Times New Roman"/>
              </w:rPr>
              <w:t>”“</w:t>
            </w:r>
            <w:r>
              <w:rPr>
                <w:rFonts w:hint="eastAsia" w:ascii="Times New Roman" w:hAnsi="Times New Roman" w:eastAsia="楷体_GB2312" w:cs="Times New Roman"/>
              </w:rPr>
              <w:t>在那里</w:t>
            </w:r>
            <w:r>
              <w:rPr>
                <w:rFonts w:hint="eastAsia"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二石兽并沉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焉</w:t>
            </w:r>
            <w:r>
              <w:rPr>
                <w:rFonts w:ascii="Times New Roman" w:hAnsi="Times New Roman" w:eastAsia="楷体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惧有伏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焉</w:t>
            </w:r>
            <w:r>
              <w:rPr>
                <w:rFonts w:ascii="Times New Roman" w:hAnsi="Times New Roman" w:eastAsia="楷体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名词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处所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地方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位置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必能使行阵和睦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优劣得</w:t>
            </w:r>
            <w:r>
              <w:rPr>
                <w:rFonts w:ascii="Times New Roman" w:hAnsi="Times New Roman" w:eastAsia="楷体_GB2312" w:cs="Times New Roman"/>
                <w:em w:val="underDot"/>
              </w:rPr>
              <w:t>所</w:t>
            </w:r>
            <w:r>
              <w:rPr>
                <w:rFonts w:ascii="Times New Roman" w:hAnsi="Times New Roman" w:eastAsia="楷体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用在动词之前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构成名词性词组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代指人或事物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皆若空游无</w:t>
            </w:r>
            <w:r>
              <w:rPr>
                <w:rFonts w:ascii="Times New Roman" w:hAnsi="Times New Roman" w:eastAsia="楷体_GB2312" w:cs="Times New Roman"/>
                <w:em w:val="underDot"/>
              </w:rPr>
              <w:t>所</w:t>
            </w:r>
            <w:r>
              <w:rPr>
                <w:rFonts w:ascii="Times New Roman" w:hAnsi="Times New Roman" w:eastAsia="楷体_GB2312" w:cs="Times New Roman"/>
              </w:rPr>
              <w:t>依(《小石潭记》)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衣食</w:t>
            </w:r>
            <w:r>
              <w:rPr>
                <w:rFonts w:ascii="Times New Roman" w:hAnsi="Times New Roman" w:eastAsia="楷体_GB2312" w:cs="Times New Roman"/>
                <w:em w:val="underDot"/>
              </w:rPr>
              <w:t>所</w:t>
            </w:r>
            <w:r>
              <w:rPr>
                <w:rFonts w:ascii="Times New Roman" w:hAnsi="Times New Roman" w:eastAsia="楷体_GB2312" w:cs="Times New Roman"/>
              </w:rPr>
              <w:t>安(《曹刿论战》)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副词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以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连用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hAnsi="宋体" w:cs="Times New Roman"/>
              </w:rPr>
              <w:t>……</w:t>
            </w:r>
            <w:r>
              <w:rPr>
                <w:rFonts w:ascii="Times New Roman" w:hAnsi="Times New Roman" w:eastAsia="楷体_GB2312" w:cs="Times New Roman"/>
              </w:rPr>
              <w:t>的原因；用来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em w:val="underDot"/>
              </w:rPr>
              <w:t>所</w:t>
            </w:r>
            <w:r>
              <w:rPr>
                <w:rFonts w:ascii="Times New Roman" w:hAnsi="Times New Roman" w:eastAsia="楷体_GB2312" w:cs="Times New Roman"/>
              </w:rPr>
              <w:t>以动心忍性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曾益其所不能(《生于忧患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此</w:t>
            </w:r>
            <w:r>
              <w:rPr>
                <w:rFonts w:hint="eastAsia" w:ascii="Times New Roman" w:hAnsi="Times New Roman" w:eastAsia="楷体_GB2312" w:cs="Times New Roman"/>
              </w:rPr>
              <w:t>先汉</w:t>
            </w:r>
            <w:r>
              <w:rPr>
                <w:rFonts w:ascii="Times New Roman" w:hAnsi="Times New Roman" w:eastAsia="楷体_GB2312" w:cs="Times New Roman"/>
                <w:em w:val="underDot"/>
              </w:rPr>
              <w:t>所</w:t>
            </w:r>
            <w:r>
              <w:rPr>
                <w:rFonts w:ascii="Times New Roman" w:hAnsi="Times New Roman" w:eastAsia="楷体_GB2312" w:cs="Times New Roman"/>
              </w:rPr>
              <w:t>以兴隆也(《出师表》)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者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用在数词后面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指代事物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种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样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不可得兼(《鱼我所欲也》)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或异二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之为(《岳阳楼记》)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者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代词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用在动词、形容词等词语后面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指人或者事物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相当于</w:t>
            </w:r>
            <w:r>
              <w:rPr>
                <w:rFonts w:hAnsi="宋体" w:cs="Times New Roman"/>
              </w:rPr>
              <w:t>“……</w:t>
            </w:r>
            <w:r>
              <w:rPr>
                <w:rFonts w:ascii="Times New Roman" w:hAnsi="Times New Roman" w:eastAsia="楷体_GB2312" w:cs="Times New Roman"/>
              </w:rPr>
              <w:t>的人</w:t>
            </w:r>
            <w:r>
              <w:rPr>
                <w:rFonts w:hAnsi="宋体" w:cs="Times New Roman"/>
              </w:rPr>
              <w:t>”“……</w:t>
            </w:r>
            <w:r>
              <w:rPr>
                <w:rFonts w:hint="eastAsia" w:ascii="Times New Roman" w:hAnsi="Times New Roman" w:eastAsia="楷体_GB2312" w:cs="Times New Roman"/>
              </w:rPr>
              <w:t>的事</w:t>
            </w:r>
            <w:r>
              <w:rPr>
                <w:rFonts w:hint="eastAsia" w:hAnsi="宋体" w:cs="Times New Roman"/>
              </w:rPr>
              <w:t>”“……</w:t>
            </w:r>
            <w:r>
              <w:rPr>
                <w:rFonts w:hint="eastAsia" w:ascii="Times New Roman" w:hAnsi="Times New Roman" w:eastAsia="楷体_GB2312" w:cs="Times New Roman"/>
              </w:rPr>
              <w:t>的方面</w:t>
            </w:r>
            <w:r>
              <w:rPr>
                <w:rFonts w:hint="eastAsia" w:hAnsi="宋体" w:cs="Times New Roman"/>
              </w:rPr>
              <w:t>”“……</w:t>
            </w:r>
            <w:r>
              <w:rPr>
                <w:rFonts w:hint="eastAsia" w:ascii="Times New Roman" w:hAnsi="Times New Roman" w:eastAsia="楷体_GB2312" w:cs="Times New Roman"/>
              </w:rPr>
              <w:t>的手段</w:t>
            </w:r>
            <w:r>
              <w:rPr>
                <w:rFonts w:hint="eastAsia"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知之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不如好之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则凡可以得生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何不用也(《鱼我所欲也》)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助词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结构助词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有时不译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有时译为</w:t>
            </w:r>
            <w:r>
              <w:rPr>
                <w:rFonts w:hAnsi="宋体" w:cs="Times New Roman"/>
              </w:rPr>
              <w:t>“……</w:t>
            </w:r>
            <w:r>
              <w:rPr>
                <w:rFonts w:ascii="Times New Roman" w:hAnsi="Times New Roman" w:eastAsia="楷体_GB2312" w:cs="Times New Roman"/>
              </w:rPr>
              <w:t>的样子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马之千里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一食或尽粟一石(《马说》)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宋体" w:cs="MingLiU_HKSCS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lang w:eastAsia="zh-CN"/>
              </w:rPr>
              <w:t>语气词</w:t>
            </w: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表判断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有时和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也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一起作为判断句的标志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可译为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是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花之隐逸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也(《爱莲说》)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</w:rPr>
              <w:t>望之蔚然而深秀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ascii="Times New Roman" w:hAnsi="Times New Roman" w:eastAsia="楷体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466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MingLiU_HKSCS" w:hAnsi="MingLiU_HKSCS" w:eastAsia="MingLiU_HKSCS" w:cs="MingLiU_HKS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用于主语后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引出原因、解释等</w:t>
            </w:r>
          </w:p>
        </w:tc>
        <w:tc>
          <w:tcPr>
            <w:tcW w:w="4033" w:type="dxa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 w:ascii="MingLiU_HKSCS" w:hAnsi="MingLiU_HKSCS" w:eastAsia="MingLiU_HKSCS" w:cs="MingLiU_HKSCS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</w:rPr>
              <w:t>吾妻之美我</w:t>
            </w:r>
            <w:r>
              <w:rPr>
                <w:rFonts w:ascii="Times New Roman" w:hAnsi="Times New Roman" w:eastAsia="楷体_GB2312" w:cs="Times New Roman"/>
                <w:em w:val="underDot"/>
              </w:rPr>
              <w:t>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私我也(《邹忌讽齐王纳谏》)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84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C33770"/>
    <w:rsid w:val="0E176739"/>
    <w:rsid w:val="11F94331"/>
    <w:rsid w:val="12307DC9"/>
    <w:rsid w:val="12372F05"/>
    <w:rsid w:val="126F3294"/>
    <w:rsid w:val="13E764E9"/>
    <w:rsid w:val="147065B2"/>
    <w:rsid w:val="15237B39"/>
    <w:rsid w:val="15B14F99"/>
    <w:rsid w:val="16C00BD8"/>
    <w:rsid w:val="18A921E8"/>
    <w:rsid w:val="1B6F0EBA"/>
    <w:rsid w:val="1F4E188E"/>
    <w:rsid w:val="203C5B8B"/>
    <w:rsid w:val="21B42691"/>
    <w:rsid w:val="235979ED"/>
    <w:rsid w:val="23A66590"/>
    <w:rsid w:val="245606F7"/>
    <w:rsid w:val="247022A7"/>
    <w:rsid w:val="24F26D39"/>
    <w:rsid w:val="25EC2454"/>
    <w:rsid w:val="26C10B23"/>
    <w:rsid w:val="26CD578F"/>
    <w:rsid w:val="27435A51"/>
    <w:rsid w:val="27C22E19"/>
    <w:rsid w:val="287B0FED"/>
    <w:rsid w:val="28A006AE"/>
    <w:rsid w:val="297B66A3"/>
    <w:rsid w:val="297D1125"/>
    <w:rsid w:val="2BE468D2"/>
    <w:rsid w:val="2F2E0132"/>
    <w:rsid w:val="31744520"/>
    <w:rsid w:val="31920F23"/>
    <w:rsid w:val="31CD2AE7"/>
    <w:rsid w:val="32572D9F"/>
    <w:rsid w:val="327A0093"/>
    <w:rsid w:val="32DA2B85"/>
    <w:rsid w:val="33D91C17"/>
    <w:rsid w:val="348079F5"/>
    <w:rsid w:val="34AC2E87"/>
    <w:rsid w:val="36146F36"/>
    <w:rsid w:val="36450A6B"/>
    <w:rsid w:val="3901057E"/>
    <w:rsid w:val="3936311C"/>
    <w:rsid w:val="39DA4BB6"/>
    <w:rsid w:val="3A607E28"/>
    <w:rsid w:val="3B1A34E1"/>
    <w:rsid w:val="3BA3595A"/>
    <w:rsid w:val="3D163DC2"/>
    <w:rsid w:val="3DD46434"/>
    <w:rsid w:val="3DE9514C"/>
    <w:rsid w:val="3E2D2A04"/>
    <w:rsid w:val="3F657781"/>
    <w:rsid w:val="433504EC"/>
    <w:rsid w:val="43362BE2"/>
    <w:rsid w:val="43804E86"/>
    <w:rsid w:val="448C3FE1"/>
    <w:rsid w:val="44FA56C5"/>
    <w:rsid w:val="456C1F27"/>
    <w:rsid w:val="463B22BD"/>
    <w:rsid w:val="469D0882"/>
    <w:rsid w:val="469F311A"/>
    <w:rsid w:val="499F2116"/>
    <w:rsid w:val="4BFC604B"/>
    <w:rsid w:val="4C1A32B7"/>
    <w:rsid w:val="4DDD13E0"/>
    <w:rsid w:val="501E4FD5"/>
    <w:rsid w:val="51F36142"/>
    <w:rsid w:val="52E93989"/>
    <w:rsid w:val="52FF6334"/>
    <w:rsid w:val="54FF10E6"/>
    <w:rsid w:val="554364D7"/>
    <w:rsid w:val="56C635BD"/>
    <w:rsid w:val="573B1AFB"/>
    <w:rsid w:val="58AB1524"/>
    <w:rsid w:val="58BD134A"/>
    <w:rsid w:val="58C552AA"/>
    <w:rsid w:val="5ACB7C5C"/>
    <w:rsid w:val="5B91121B"/>
    <w:rsid w:val="5BAA350B"/>
    <w:rsid w:val="5C0E77C1"/>
    <w:rsid w:val="5E1062EF"/>
    <w:rsid w:val="5FD2625A"/>
    <w:rsid w:val="60213E7A"/>
    <w:rsid w:val="60214D14"/>
    <w:rsid w:val="60691F64"/>
    <w:rsid w:val="607C77A7"/>
    <w:rsid w:val="611431FC"/>
    <w:rsid w:val="62142BC8"/>
    <w:rsid w:val="63952BB5"/>
    <w:rsid w:val="672C67CF"/>
    <w:rsid w:val="67694C5E"/>
    <w:rsid w:val="67B851C1"/>
    <w:rsid w:val="684F3156"/>
    <w:rsid w:val="68B95597"/>
    <w:rsid w:val="6A00409E"/>
    <w:rsid w:val="6B07083C"/>
    <w:rsid w:val="6D535020"/>
    <w:rsid w:val="71025602"/>
    <w:rsid w:val="712D088B"/>
    <w:rsid w:val="72007D93"/>
    <w:rsid w:val="727D5888"/>
    <w:rsid w:val="72992D0F"/>
    <w:rsid w:val="74550B86"/>
    <w:rsid w:val="750854F1"/>
    <w:rsid w:val="75784615"/>
    <w:rsid w:val="76062BD0"/>
    <w:rsid w:val="76231119"/>
    <w:rsid w:val="76FD0FA2"/>
    <w:rsid w:val="7B682754"/>
    <w:rsid w:val="7B83301D"/>
    <w:rsid w:val="7BDB366F"/>
    <w:rsid w:val="7C790BCC"/>
    <w:rsid w:val="7C9C690A"/>
    <w:rsid w:val="7D347CB2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19</Pages>
  <Words>15595</Words>
  <Characters>15652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2022-07-08T12:18:26Z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